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59B05">
      <w:pPr>
        <w:pStyle w:val="2"/>
        <w:spacing w:line="240" w:lineRule="auto"/>
      </w:pPr>
      <w:r>
        <w:rPr>
          <w:rFonts w:hint="eastAsia"/>
        </w:rPr>
        <w:t>学校近三年办学情况统计表</w:t>
      </w:r>
    </w:p>
    <w:p w14:paraId="7E446231">
      <w:pPr>
        <w:rPr>
          <w:rFonts w:hint="default" w:eastAsia="方正仿宋_GBK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学校名称：</w:t>
      </w:r>
      <w:r>
        <w:rPr>
          <w:rFonts w:hint="eastAsia"/>
          <w:sz w:val="28"/>
          <w:szCs w:val="28"/>
          <w:lang w:val="en-US" w:eastAsia="zh-CN"/>
        </w:rPr>
        <w:t>无锡市查桥中学</w:t>
      </w:r>
    </w:p>
    <w:tbl>
      <w:tblPr>
        <w:tblStyle w:val="8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74" w:type="dxa"/>
          <w:left w:w="113" w:type="dxa"/>
          <w:bottom w:w="74" w:type="dxa"/>
          <w:right w:w="113" w:type="dxa"/>
        </w:tblCellMar>
      </w:tblPr>
      <w:tblGrid>
        <w:gridCol w:w="890"/>
        <w:gridCol w:w="3568"/>
        <w:gridCol w:w="1375"/>
        <w:gridCol w:w="3332"/>
      </w:tblGrid>
      <w:tr w14:paraId="6C39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tblHeader/>
          <w:jc w:val="center"/>
        </w:trPr>
        <w:tc>
          <w:tcPr>
            <w:tcW w:w="4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7578">
            <w:pPr>
              <w:snapToGrid w:val="0"/>
              <w:spacing w:line="360" w:lineRule="exact"/>
              <w:jc w:val="center"/>
              <w:rPr>
                <w:rFonts w:eastAsia="方正黑体_GBK" w:cs="方正仿宋_GBK"/>
                <w:sz w:val="26"/>
                <w:szCs w:val="26"/>
              </w:rPr>
            </w:pPr>
            <w:r>
              <w:rPr>
                <w:rFonts w:hint="eastAsia" w:eastAsia="方正黑体_GBK" w:cs="方正仿宋_GBK"/>
                <w:sz w:val="26"/>
                <w:szCs w:val="26"/>
              </w:rPr>
              <w:t>项目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ED53C">
            <w:pPr>
              <w:snapToGrid w:val="0"/>
              <w:spacing w:line="360" w:lineRule="exact"/>
              <w:jc w:val="center"/>
              <w:rPr>
                <w:rFonts w:eastAsia="方正黑体_GBK" w:cs="方正仿宋_GBK"/>
                <w:sz w:val="26"/>
                <w:szCs w:val="26"/>
              </w:rPr>
            </w:pPr>
            <w:r>
              <w:rPr>
                <w:rFonts w:hint="eastAsia" w:eastAsia="方正黑体_GBK" w:cs="方正仿宋_GBK"/>
                <w:sz w:val="26"/>
                <w:szCs w:val="26"/>
              </w:rPr>
              <w:t>数量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4D6C5">
            <w:pPr>
              <w:snapToGrid w:val="0"/>
              <w:spacing w:line="360" w:lineRule="exact"/>
              <w:jc w:val="center"/>
              <w:rPr>
                <w:rFonts w:eastAsia="方正黑体_GBK" w:cs="方正仿宋_GBK"/>
                <w:sz w:val="26"/>
                <w:szCs w:val="26"/>
              </w:rPr>
            </w:pPr>
            <w:r>
              <w:rPr>
                <w:rFonts w:hint="eastAsia" w:eastAsia="方正黑体_GBK" w:cs="方正仿宋_GBK"/>
                <w:sz w:val="26"/>
                <w:szCs w:val="26"/>
              </w:rPr>
              <w:t>备注</w:t>
            </w:r>
          </w:p>
        </w:tc>
      </w:tr>
      <w:tr w14:paraId="46AE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36D07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办学</w:t>
            </w:r>
          </w:p>
          <w:p w14:paraId="20D96368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成效</w:t>
            </w: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D2C0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获区级（含）以上集体荣誉（项）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FE9F7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30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027B8">
            <w:pPr>
              <w:snapToGrid w:val="0"/>
              <w:spacing w:line="360" w:lineRule="exact"/>
              <w:rPr>
                <w:rFonts w:hint="eastAsia" w:eastAsia="方正仿宋_GBK" w:cs="方正仿宋_GBK"/>
                <w:sz w:val="26"/>
                <w:szCs w:val="26"/>
                <w:lang w:eastAsia="zh-CN"/>
              </w:rPr>
            </w:pPr>
            <w:r>
              <w:rPr>
                <w:rFonts w:hint="eastAsia" w:cs="方正仿宋_GBK"/>
                <w:sz w:val="26"/>
                <w:szCs w:val="26"/>
              </w:rPr>
              <w:t>获奖名称、颁奖单位、获奖日期另附清单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见清单1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108ED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88664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18DB8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承办区级（含）以上各类活动（次）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B859A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20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B9B16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活动名称、日期、主办和承办单位另附清单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见清单2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7C7F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18C3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AEF37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接待区内外参观考察（次）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BD989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92973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活动名称、日期、考察单位另附清单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见清单3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26418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EFD1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55E25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公开出版或发布的学校教育教学改革成果（项）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FA3FD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6CF5C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具体名称、出版或发布日期、出版单位另附清单</w:t>
            </w:r>
          </w:p>
        </w:tc>
      </w:tr>
      <w:tr w14:paraId="18C4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3A358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B6097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教师个人获区级（含）以上学术奖励（项）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822BA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457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36EAF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获奖名称、颁奖单位、获奖日期另附清单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见清单4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41152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20728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EB839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办学满意度测评满意率（%）（分2022、2023和2024年度）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8274B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2022（100%）</w:t>
            </w:r>
          </w:p>
          <w:p w14:paraId="12CB96BA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2023（100%）</w:t>
            </w:r>
          </w:p>
          <w:p w14:paraId="7756C9D8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2024（100%）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8FAE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</w:tr>
      <w:tr w14:paraId="096B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trHeight w:val="1003" w:hRule="atLeast"/>
          <w:jc w:val="center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D9724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经费</w:t>
            </w:r>
          </w:p>
          <w:p w14:paraId="0F5E516C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保障</w:t>
            </w: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972CC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基本建设及形成固定资产的大型维修投入（万元）（分2022、2023和2024年度）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149BF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2022（327.7）</w:t>
            </w:r>
          </w:p>
          <w:p w14:paraId="01343AEF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2023（0）</w:t>
            </w:r>
          </w:p>
          <w:p w14:paraId="48EC514F">
            <w:pPr>
              <w:snapToGrid w:val="0"/>
              <w:spacing w:line="360" w:lineRule="exact"/>
              <w:jc w:val="center"/>
              <w:rPr>
                <w:rFonts w:hint="default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2024（0）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26BC0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</w:tr>
      <w:tr w14:paraId="3663E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26A42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B6B30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教育装备设施采购（万元）（分2022、2023和2024年度）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4F5CD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2022（1.22）</w:t>
            </w:r>
          </w:p>
          <w:p w14:paraId="330983FF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2023（5.74）</w:t>
            </w:r>
          </w:p>
          <w:p w14:paraId="50487666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2024（221.8）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B291C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图书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12.9</w:t>
            </w:r>
            <w:r>
              <w:rPr>
                <w:rFonts w:hint="eastAsia" w:cs="方正仿宋_GBK"/>
                <w:sz w:val="26"/>
                <w:szCs w:val="26"/>
              </w:rPr>
              <w:t>万元，教育信息化装备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160.5</w:t>
            </w:r>
            <w:r>
              <w:rPr>
                <w:rFonts w:hint="eastAsia" w:cs="方正仿宋_GBK"/>
                <w:sz w:val="26"/>
                <w:szCs w:val="26"/>
              </w:rPr>
              <w:t>万元，实验仪器器材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2.3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万元，艺体器材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53</w:t>
            </w:r>
            <w:r>
              <w:rPr>
                <w:rFonts w:hint="eastAsia" w:cs="方正仿宋_GBK"/>
                <w:sz w:val="26"/>
                <w:szCs w:val="26"/>
              </w:rPr>
              <w:t>万元。</w:t>
            </w:r>
          </w:p>
        </w:tc>
      </w:tr>
      <w:tr w14:paraId="43790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35493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52459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实际使用的生均日常公用经费（元）（分2022、2023和2024年度）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48F97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2022（1927）</w:t>
            </w:r>
          </w:p>
          <w:p w14:paraId="4B855DA8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2023（1774）</w:t>
            </w:r>
          </w:p>
          <w:p w14:paraId="6C8E7FBE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1"/>
                <w:szCs w:val="21"/>
                <w:lang w:val="en-US" w:eastAsia="zh-CN"/>
              </w:rPr>
              <w:t>2024（1707）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D4E37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（俗称“小公用”），分年度附表列清使用明细。</w:t>
            </w:r>
          </w:p>
        </w:tc>
      </w:tr>
      <w:tr w14:paraId="0310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C5B6E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5B5D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其他专项经费（万元）（分2022、2023和2024年度）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87DAD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33323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具体项目名称、使用经费另附清单说明</w:t>
            </w:r>
          </w:p>
        </w:tc>
      </w:tr>
      <w:tr w14:paraId="00D1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B5A24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队伍</w:t>
            </w:r>
          </w:p>
          <w:p w14:paraId="63472CB2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建设</w:t>
            </w: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1AABD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新增教学（教科研、德育）骨干人数（人）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CD651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333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83864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与三年前相比</w:t>
            </w:r>
          </w:p>
        </w:tc>
      </w:tr>
      <w:tr w14:paraId="4935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52DDE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9F454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晋升学术荣誉等级人数（人）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98C15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333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1BB74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</w:tr>
      <w:tr w14:paraId="2AF1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DDBB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48B18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专任教师学历合格率（%），本科及以上学历比例（%）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16C7A">
            <w:pPr>
              <w:snapToGrid w:val="0"/>
              <w:spacing w:line="360" w:lineRule="exact"/>
              <w:jc w:val="center"/>
              <w:rPr>
                <w:rFonts w:hint="eastAsia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100%</w:t>
            </w:r>
          </w:p>
          <w:p w14:paraId="38E9589F">
            <w:pPr>
              <w:snapToGrid w:val="0"/>
              <w:spacing w:line="360" w:lineRule="exact"/>
              <w:jc w:val="center"/>
              <w:rPr>
                <w:rFonts w:hint="default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95.2%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7F100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专任教师总数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84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人，学历合格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84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人，本科及以上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80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人。</w:t>
            </w:r>
          </w:p>
        </w:tc>
      </w:tr>
      <w:tr w14:paraId="5B640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ADC42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B2BBF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音、体、美、科学、信息科技、劳动、心理健康专职教师占比（%）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6A33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  <w:u w:val="single"/>
              </w:rPr>
            </w:pPr>
            <w:r>
              <w:rPr>
                <w:rFonts w:hint="eastAsia" w:cs="方正仿宋_GBK"/>
                <w:sz w:val="26"/>
                <w:szCs w:val="26"/>
              </w:rPr>
              <w:t>音乐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</w:p>
          <w:p w14:paraId="033ED723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  <w:u w:val="single"/>
              </w:rPr>
            </w:pPr>
            <w:r>
              <w:rPr>
                <w:rFonts w:hint="eastAsia" w:cs="方正仿宋_GBK"/>
                <w:sz w:val="26"/>
                <w:szCs w:val="26"/>
              </w:rPr>
              <w:t>体育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7</w:t>
            </w:r>
          </w:p>
          <w:p w14:paraId="39DB5CEE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  <w:u w:val="single"/>
              </w:rPr>
            </w:pPr>
            <w:r>
              <w:rPr>
                <w:rFonts w:hint="eastAsia" w:cs="方正仿宋_GBK"/>
                <w:sz w:val="26"/>
                <w:szCs w:val="26"/>
              </w:rPr>
              <w:t>美术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2</w:t>
            </w:r>
          </w:p>
          <w:p w14:paraId="7C32902E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  <w:u w:val="single"/>
              </w:rPr>
            </w:pPr>
            <w:r>
              <w:rPr>
                <w:rFonts w:hint="eastAsia" w:cs="方正仿宋_GBK"/>
                <w:sz w:val="26"/>
                <w:szCs w:val="26"/>
              </w:rPr>
              <w:t>科学</w:t>
            </w:r>
          </w:p>
          <w:p w14:paraId="2402C88D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  <w:u w:val="single"/>
              </w:rPr>
            </w:pPr>
            <w:r>
              <w:rPr>
                <w:rFonts w:hint="eastAsia" w:cs="方正仿宋_GBK"/>
                <w:sz w:val="24"/>
                <w:szCs w:val="24"/>
              </w:rPr>
              <w:t>信息科技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</w:p>
          <w:p w14:paraId="7A750CA5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  <w:u w:val="single"/>
              </w:rPr>
            </w:pPr>
            <w:r>
              <w:rPr>
                <w:rFonts w:hint="eastAsia" w:cs="方正仿宋_GBK"/>
                <w:sz w:val="26"/>
                <w:szCs w:val="26"/>
              </w:rPr>
              <w:t>劳动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12</w:t>
            </w:r>
          </w:p>
          <w:p w14:paraId="54335C1B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u w:val="single"/>
                <w:lang w:eastAsia="zh-CN"/>
              </w:rPr>
            </w:pPr>
            <w:r>
              <w:rPr>
                <w:rFonts w:hint="eastAsia" w:cs="方正仿宋_GBK"/>
                <w:sz w:val="26"/>
                <w:szCs w:val="26"/>
              </w:rPr>
              <w:t>心理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2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28A28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音乐专兼职教师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人；体育专兼职教师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7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7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人；美术专兼职教师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2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人；小学科学专兼职教师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 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  </w:t>
            </w:r>
            <w:r>
              <w:rPr>
                <w:rFonts w:hint="eastAsia" w:cs="方正仿宋_GBK"/>
                <w:sz w:val="26"/>
                <w:szCs w:val="26"/>
              </w:rPr>
              <w:t>人；信息科技专兼职教师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人；劳动专兼职教师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12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0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人；心理健康专兼职教师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3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人，其中专职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人。</w:t>
            </w:r>
          </w:p>
        </w:tc>
      </w:tr>
      <w:tr w14:paraId="74267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06043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BA6B8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专任教师中区级以上骨干占比（%）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6C3FD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34.5%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30D43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区级以上骨干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29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人。</w:t>
            </w:r>
          </w:p>
        </w:tc>
      </w:tr>
      <w:tr w14:paraId="153DA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08B4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0FACD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市级骨干教师学科覆盖面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A4FA6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8.3%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844A9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市级以上骨干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7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人，覆盖</w:t>
            </w:r>
          </w:p>
          <w:p w14:paraId="46E2DB43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4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门学科。</w:t>
            </w:r>
          </w:p>
        </w:tc>
      </w:tr>
      <w:tr w14:paraId="4C0A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E58ED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B4E0D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骨干教师考核参与率（%）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A318C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100%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0E389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应参加考核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15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人，实际参加考核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15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人。</w:t>
            </w:r>
          </w:p>
        </w:tc>
      </w:tr>
      <w:tr w14:paraId="1A9CA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0B07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66423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骨干教师考核合格率（%）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DD8CB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100%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5D545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考核合格人数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15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人。</w:t>
            </w:r>
          </w:p>
        </w:tc>
      </w:tr>
      <w:tr w14:paraId="1746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E0A36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BD475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校长年度民主测评称职率（%）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FF28C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100%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51662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</w:tr>
      <w:tr w14:paraId="7C03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19D31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B01A9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副职校长年度民主测评称职率（%）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6CE94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100%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43D8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</w:tr>
      <w:tr w14:paraId="48CF5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0893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内涵</w:t>
            </w:r>
          </w:p>
          <w:p w14:paraId="1DE0AA4F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提升</w:t>
            </w: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D752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组织校园文化特色建设推介活动（次）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AA6C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411EE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</w:tr>
      <w:tr w14:paraId="5E7AE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6B53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3DF98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校园文化特色建设成果媒体报道（次）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D465E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32DA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注明媒体名称、报道标题</w:t>
            </w:r>
          </w:p>
        </w:tc>
      </w:tr>
      <w:tr w14:paraId="39392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394BB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DBC75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各类课程基地（项目）建设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59C49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40422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批准单位、立项时间、视导结果，另附清单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见清单5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0077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A6A6D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F3C32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各级中小学生品格提升工程项目建设（项）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58E2F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DF0DB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批准单位、立项时间、视导结果，另附清单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见清单6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51495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04E3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6E33A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各级前瞻性教改实验项目建设（项）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1C921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0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6C445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批准单位、立项时间、视导结果，另附清单</w:t>
            </w:r>
          </w:p>
        </w:tc>
      </w:tr>
      <w:tr w14:paraId="3C82B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70AC6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2340F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锡山阅读工程（次）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4768A">
            <w:pPr>
              <w:snapToGrid w:val="0"/>
              <w:spacing w:line="360" w:lineRule="exact"/>
              <w:jc w:val="center"/>
              <w:rPr>
                <w:rFonts w:hint="eastAsia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12E5E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含学校及有关部门组织的活动，包含活动内容、活动时间、活动成效及相关印证材料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（</w:t>
            </w: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见清单7</w:t>
            </w:r>
            <w:r>
              <w:rPr>
                <w:rFonts w:hint="eastAsia" w:cs="方正仿宋_GBK"/>
                <w:sz w:val="26"/>
                <w:szCs w:val="26"/>
                <w:lang w:eastAsia="zh-CN"/>
              </w:rPr>
              <w:t>）</w:t>
            </w:r>
          </w:p>
        </w:tc>
      </w:tr>
      <w:tr w14:paraId="4DB9C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ACB3C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9982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每年度市级以上发表论文篇数占专任教师总数的比例（%）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3FB1F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B0C26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2022年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8.1</w:t>
            </w:r>
            <w:r>
              <w:rPr>
                <w:rFonts w:hint="eastAsia" w:cs="方正仿宋_GBK"/>
                <w:sz w:val="26"/>
                <w:szCs w:val="26"/>
              </w:rPr>
              <w:t>%，2023年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1.1</w:t>
            </w:r>
            <w:r>
              <w:rPr>
                <w:rFonts w:hint="eastAsia" w:cs="方正仿宋_GBK"/>
                <w:sz w:val="26"/>
                <w:szCs w:val="26"/>
              </w:rPr>
              <w:t>%，2024年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8</w:t>
            </w:r>
            <w:r>
              <w:rPr>
                <w:rFonts w:hint="eastAsia" w:cs="方正仿宋_GBK"/>
                <w:sz w:val="26"/>
                <w:szCs w:val="26"/>
                <w:u w:val="single"/>
              </w:rPr>
              <w:t xml:space="preserve"> </w:t>
            </w:r>
            <w:r>
              <w:rPr>
                <w:rFonts w:hint="eastAsia" w:cs="方正仿宋_GBK"/>
                <w:sz w:val="26"/>
                <w:szCs w:val="26"/>
              </w:rPr>
              <w:t>%。</w:t>
            </w:r>
          </w:p>
        </w:tc>
      </w:tr>
      <w:tr w14:paraId="3BEC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1DC8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A6022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《国家学生体质健康标准》测试合格率（%）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C4A6C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CDB89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2022年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96.3</w:t>
            </w:r>
            <w:r>
              <w:rPr>
                <w:rFonts w:hint="eastAsia" w:cs="方正仿宋_GBK"/>
                <w:sz w:val="26"/>
                <w:szCs w:val="26"/>
              </w:rPr>
              <w:t>%，2023年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97</w:t>
            </w:r>
            <w:r>
              <w:rPr>
                <w:rFonts w:hint="eastAsia" w:cs="方正仿宋_GBK"/>
                <w:sz w:val="26"/>
                <w:szCs w:val="26"/>
              </w:rPr>
              <w:t>%，2024年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95.7</w:t>
            </w:r>
            <w:r>
              <w:rPr>
                <w:rFonts w:hint="eastAsia" w:cs="方正仿宋_GBK"/>
                <w:sz w:val="26"/>
                <w:szCs w:val="26"/>
              </w:rPr>
              <w:t>%。</w:t>
            </w:r>
          </w:p>
        </w:tc>
      </w:tr>
      <w:tr w14:paraId="60E05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5D2D1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77AB2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《国家学生体质健康标准》测试优良率（%）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336E8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07AF1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2022年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40</w:t>
            </w:r>
            <w:r>
              <w:rPr>
                <w:rFonts w:hint="eastAsia" w:cs="方正仿宋_GBK"/>
                <w:sz w:val="26"/>
                <w:szCs w:val="26"/>
              </w:rPr>
              <w:t>%，2023年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54.1</w:t>
            </w:r>
            <w:r>
              <w:rPr>
                <w:rFonts w:hint="eastAsia" w:cs="方正仿宋_GBK"/>
                <w:sz w:val="26"/>
                <w:szCs w:val="26"/>
              </w:rPr>
              <w:t>%，2024年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54.2</w:t>
            </w:r>
            <w:r>
              <w:rPr>
                <w:rFonts w:hint="eastAsia" w:cs="方正仿宋_GBK"/>
                <w:sz w:val="26"/>
                <w:szCs w:val="26"/>
              </w:rPr>
              <w:t>%。</w:t>
            </w:r>
          </w:p>
        </w:tc>
      </w:tr>
      <w:tr w14:paraId="515B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51A22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7748E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综合素质评价优良率（%）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CD668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FB0AB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2022年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96.5</w:t>
            </w:r>
            <w:r>
              <w:rPr>
                <w:rFonts w:hint="eastAsia" w:cs="方正仿宋_GBK"/>
                <w:sz w:val="26"/>
                <w:szCs w:val="26"/>
              </w:rPr>
              <w:t>%，2023年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97.3</w:t>
            </w:r>
            <w:r>
              <w:rPr>
                <w:rFonts w:hint="eastAsia" w:cs="方正仿宋_GBK"/>
                <w:sz w:val="26"/>
                <w:szCs w:val="26"/>
              </w:rPr>
              <w:t>%，2024年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97.4</w:t>
            </w:r>
            <w:r>
              <w:rPr>
                <w:rFonts w:hint="eastAsia" w:cs="方正仿宋_GBK"/>
                <w:sz w:val="26"/>
                <w:szCs w:val="26"/>
              </w:rPr>
              <w:t>%。</w:t>
            </w:r>
          </w:p>
        </w:tc>
      </w:tr>
      <w:tr w14:paraId="5E08A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cantSplit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0EA6B">
            <w:pPr>
              <w:widowControl/>
              <w:spacing w:line="360" w:lineRule="exact"/>
              <w:jc w:val="lef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8CAEC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学生参加各类社团活动比例（%）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3CD0E">
            <w:pPr>
              <w:snapToGrid w:val="0"/>
              <w:spacing w:line="360" w:lineRule="exact"/>
              <w:jc w:val="center"/>
              <w:rPr>
                <w:rFonts w:hint="default" w:eastAsia="方正仿宋_GBK" w:cs="方正仿宋_GBK"/>
                <w:sz w:val="26"/>
                <w:szCs w:val="26"/>
                <w:lang w:val="en-US" w:eastAsia="zh-CN"/>
              </w:rPr>
            </w:pPr>
            <w:r>
              <w:rPr>
                <w:rFonts w:hint="eastAsia" w:cs="方正仿宋_GBK"/>
                <w:sz w:val="26"/>
                <w:szCs w:val="26"/>
                <w:lang w:val="en-US" w:eastAsia="zh-CN"/>
              </w:rPr>
              <w:t>100%</w:t>
            </w: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F2CBA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2022年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100</w:t>
            </w:r>
            <w:r>
              <w:rPr>
                <w:rFonts w:hint="eastAsia" w:cs="方正仿宋_GBK"/>
                <w:sz w:val="26"/>
                <w:szCs w:val="26"/>
              </w:rPr>
              <w:t>%，2023年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100</w:t>
            </w:r>
            <w:r>
              <w:rPr>
                <w:rFonts w:hint="eastAsia" w:cs="方正仿宋_GBK"/>
                <w:sz w:val="26"/>
                <w:szCs w:val="26"/>
              </w:rPr>
              <w:t>%，2024年</w:t>
            </w:r>
            <w:r>
              <w:rPr>
                <w:rFonts w:hint="eastAsia" w:cs="方正仿宋_GBK"/>
                <w:sz w:val="26"/>
                <w:szCs w:val="26"/>
                <w:u w:val="single"/>
                <w:lang w:val="en-US" w:eastAsia="zh-CN"/>
              </w:rPr>
              <w:t>100</w:t>
            </w:r>
            <w:r>
              <w:rPr>
                <w:rFonts w:hint="eastAsia" w:cs="方正仿宋_GBK"/>
                <w:sz w:val="26"/>
                <w:szCs w:val="26"/>
              </w:rPr>
              <w:t>%。</w:t>
            </w:r>
          </w:p>
        </w:tc>
      </w:tr>
      <w:tr w14:paraId="3A04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4" w:type="dxa"/>
            <w:left w:w="113" w:type="dxa"/>
            <w:bottom w:w="74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E994B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整改</w:t>
            </w:r>
          </w:p>
          <w:p w14:paraId="28DD2282">
            <w:pPr>
              <w:snapToGrid w:val="0"/>
              <w:spacing w:line="360" w:lineRule="exact"/>
              <w:jc w:val="center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落实</w:t>
            </w:r>
          </w:p>
        </w:tc>
        <w:tc>
          <w:tcPr>
            <w:tcW w:w="3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A7C40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上一轮综合督导所提问题建议：</w:t>
            </w:r>
          </w:p>
          <w:p w14:paraId="0DAAE991">
            <w:pPr>
              <w:snapToGrid w:val="0"/>
              <w:spacing w:line="360" w:lineRule="exact"/>
              <w:rPr>
                <w:rFonts w:hint="eastAsia"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1．“笃行文化”有待进一步涵养。“笃行文化”概念需进一步梳理，品牌影响力与认同度还需进一步提高。文化立校推进路径不够明确，还需进一步系统构建和深度挖掘。</w:t>
            </w:r>
          </w:p>
          <w:p w14:paraId="01FB33E9">
            <w:pPr>
              <w:snapToGrid w:val="0"/>
              <w:spacing w:line="360" w:lineRule="exact"/>
              <w:rPr>
                <w:rFonts w:hint="eastAsia"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2．教学实效有待进一步提升。部分教师缺乏教学应变能力和学法指导，探究式、讨论式等教学方式运用不充分，学生主体地位体现不够。基于课题的教学研究有待进一步加强，教科研成果转化运用效果不明显。《国家学生体质健康标准》测试合格率、良好率均低于评估要求。</w:t>
            </w:r>
          </w:p>
          <w:p w14:paraId="7A58227B">
            <w:pPr>
              <w:snapToGrid w:val="0"/>
              <w:spacing w:line="360" w:lineRule="exact"/>
              <w:rPr>
                <w:rFonts w:hint="eastAsia"/>
              </w:rPr>
            </w:pPr>
            <w:r>
              <w:rPr>
                <w:rFonts w:hint="eastAsia" w:cs="方正仿宋_GBK"/>
                <w:sz w:val="26"/>
                <w:szCs w:val="26"/>
              </w:rPr>
              <w:t>3．队伍结构有待进一步优化。教师年龄结构趋于老化，随着近年退休人数增多及生源数大幅提升，部分学科师资紧缺。专任教师本科学历比例未达标，道德与法治、历史、地理等学科专任教师配备不足。骨干教师层次不高，未实现学科全覆盖，道德与法治等6门学科无区级及以上骨干教师，2020年骨干教师考核合格率未达标。</w:t>
            </w:r>
          </w:p>
          <w:p w14:paraId="567A88FB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05958">
            <w:pPr>
              <w:snapToGrid w:val="0"/>
              <w:spacing w:line="360" w:lineRule="exact"/>
              <w:rPr>
                <w:rFonts w:cs="方正仿宋_GBK"/>
                <w:sz w:val="26"/>
                <w:szCs w:val="26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C88B0B2">
            <w:pPr>
              <w:snapToGrid w:val="0"/>
              <w:spacing w:line="360" w:lineRule="exact"/>
              <w:rPr>
                <w:rFonts w:hint="eastAsia"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6"/>
                <w:szCs w:val="26"/>
              </w:rPr>
              <w:t>整改落实情况：</w:t>
            </w:r>
          </w:p>
          <w:p w14:paraId="16310FCB">
            <w:pPr>
              <w:snapToGrid w:val="0"/>
              <w:spacing w:line="240" w:lineRule="auto"/>
              <w:rPr>
                <w:rFonts w:hint="eastAsia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1、组建由教育专家、校领导和教师代表构成的文化研究小组研讨分析，明确“笃行文化”内涵、外延与价值体系；利用校园官网、公众号等渠道，展示文化建设成果，开展“笃行文化”主题活动，增强师生认同感；结合学校发展规划与育人目标，制定文化建设长期规划，从课程设置、校园环境营造、师生行为规范等层面，挖掘文化元素，打造特色文化品牌，提升文化立校实效，助力学校长远发展 。</w:t>
            </w:r>
            <w:r>
              <w:rPr>
                <w:rFonts w:hint="default" w:cs="方正仿宋_GBK"/>
                <w:sz w:val="24"/>
                <w:szCs w:val="24"/>
                <w:lang w:val="en-US" w:eastAsia="zh-CN"/>
              </w:rPr>
              <w:t>在全校师生的共同参与下，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无锡市中小学课程基地与学校文化建设项目《“笃行”文化建设》已顺利结项</w:t>
            </w:r>
            <w:r>
              <w:rPr>
                <w:rFonts w:hint="default" w:cs="方正仿宋_GBK"/>
                <w:sz w:val="24"/>
                <w:szCs w:val="24"/>
                <w:lang w:val="en-US" w:eastAsia="zh-CN"/>
              </w:rPr>
              <w:t>，标志着学校文化体系迈入制度化、特色化新阶段。</w:t>
            </w:r>
          </w:p>
          <w:p w14:paraId="30FB193F">
            <w:pPr>
              <w:snapToGrid w:val="0"/>
              <w:spacing w:line="240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2、学校始终坚持以“三学课堂”理念为引领。“三学课堂”是在“三多三少四优化”的教学模式中，进行改革实践，探索出的一种新型课堂理念，即“以学为主，顺学而导，依学而评”。近年来该理念既贯彻于校本课程的设置，又融汇于社会课程的实践中。学校同时落实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）</w:t>
            </w:r>
            <w:r>
              <w:rPr>
                <w:rFonts w:hint="eastAsia" w:cs="方正仿宋_GBK"/>
                <w:sz w:val="24"/>
                <w:szCs w:val="24"/>
              </w:rPr>
              <w:t>强化教师能力建设，深化课堂教学改革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方正仿宋_GBK"/>
                <w:sz w:val="24"/>
                <w:szCs w:val="24"/>
              </w:rPr>
              <w:t>组织“教学应变能力”“学法指导策略”“探究式教学实践”等专题培训，覆盖全体教师，通过案例研讨、情景模拟提升课堂动态调整能力。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）</w:t>
            </w:r>
            <w:r>
              <w:rPr>
                <w:rFonts w:hint="eastAsia" w:cs="方正仿宋_GBK"/>
                <w:sz w:val="24"/>
                <w:szCs w:val="24"/>
              </w:rPr>
              <w:t>夯实课题研究体系，加速成果转化应用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方正仿宋_GBK"/>
                <w:sz w:val="24"/>
                <w:szCs w:val="24"/>
              </w:rPr>
              <w:t>组建“学科+课题”双驱动教研组，要求每个教研组至少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cs="方正仿宋_GBK"/>
                <w:sz w:val="24"/>
                <w:szCs w:val="24"/>
              </w:rPr>
              <w:t>1项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cs="方正仿宋_GBK"/>
                <w:sz w:val="24"/>
                <w:szCs w:val="24"/>
              </w:rPr>
              <w:t>级以上课题，教师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全体参与</w:t>
            </w:r>
            <w:r>
              <w:rPr>
                <w:rFonts w:hint="eastAsia" w:cs="方正仿宋_GBK"/>
                <w:sz w:val="24"/>
                <w:szCs w:val="24"/>
              </w:rPr>
              <w:t>。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采用“请进来，走出去”的形式鼓励教师参与课题的培训和学习。（3）</w:t>
            </w:r>
            <w:r>
              <w:rPr>
                <w:rFonts w:hint="eastAsia" w:cs="方正仿宋_GBK"/>
                <w:sz w:val="24"/>
                <w:szCs w:val="24"/>
              </w:rPr>
              <w:t>多维联动提质，强化学生体质健康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执</w:t>
            </w:r>
            <w:r>
              <w:rPr>
                <w:rFonts w:hint="eastAsia" w:cs="方正仿宋_GBK"/>
                <w:sz w:val="24"/>
                <w:szCs w:val="24"/>
              </w:rPr>
              <w:t>行“每天1节体育课+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2个</w:t>
            </w:r>
            <w:r>
              <w:rPr>
                <w:rFonts w:hint="eastAsia" w:cs="方正仿宋_GBK"/>
                <w:sz w:val="24"/>
                <w:szCs w:val="24"/>
              </w:rPr>
              <w:t>30分钟大课间+课后运动”制度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近三年测试，学生体制健康测试合格率、优良率均达标。</w:t>
            </w:r>
          </w:p>
          <w:p w14:paraId="03517F1E">
            <w:pPr>
              <w:snapToGrid w:val="0"/>
              <w:spacing w:line="240" w:lineRule="auto"/>
              <w:rPr>
                <w:rFonts w:hint="eastAsia" w:cs="方正仿宋_GBK"/>
                <w:sz w:val="26"/>
                <w:szCs w:val="26"/>
              </w:rPr>
            </w:pP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cs="方正仿宋_GBK"/>
                <w:sz w:val="24"/>
                <w:szCs w:val="24"/>
              </w:rPr>
              <w:t>招聘本科以上学历、经验丰富的年轻教师，优先补充道德与法治等紧缺学科</w:t>
            </w:r>
            <w:r>
              <w:rPr>
                <w:rFonts w:hint="eastAsia" w:cs="方正仿宋_GBK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>现各学科专任教师配足配齐</w:t>
            </w:r>
            <w:r>
              <w:rPr>
                <w:rFonts w:hint="eastAsia" w:cs="方正仿宋_GBK"/>
                <w:sz w:val="24"/>
                <w:szCs w:val="24"/>
              </w:rPr>
              <w:t>；激励上，完善考核激励机制，对骨干教师设定明确考核标准和激励政策，对考核不合格者进行帮扶或淘汰，定期开展教学竞赛，选拔优秀教师，充实骨干队伍，实现学科全覆盖。</w:t>
            </w:r>
          </w:p>
        </w:tc>
      </w:tr>
    </w:tbl>
    <w:p w14:paraId="06204E26">
      <w:pPr>
        <w:widowControl/>
        <w:jc w:val="left"/>
        <w:rPr>
          <w:rFonts w:cs="Times New Roman"/>
        </w:rPr>
      </w:pPr>
    </w:p>
    <w:p w14:paraId="71640048">
      <w:pPr>
        <w:ind w:right="-6"/>
        <w:rPr>
          <w:rFonts w:cs="Times New Roman"/>
        </w:rPr>
      </w:pPr>
    </w:p>
    <w:p w14:paraId="4238C1E4">
      <w:pPr>
        <w:ind w:right="-6"/>
        <w:rPr>
          <w:rFonts w:cs="Times New Roman"/>
        </w:rPr>
      </w:pPr>
    </w:p>
    <w:p w14:paraId="1EDAFFDA">
      <w:pPr>
        <w:ind w:right="-6"/>
        <w:rPr>
          <w:rFonts w:cs="Times New Roman"/>
        </w:rPr>
      </w:pPr>
    </w:p>
    <w:p w14:paraId="06A5BDB5">
      <w:pPr>
        <w:ind w:right="-6"/>
        <w:rPr>
          <w:rFonts w:cs="Times New Roman"/>
        </w:rPr>
      </w:pPr>
    </w:p>
    <w:p w14:paraId="02272524">
      <w:pPr>
        <w:ind w:right="-6"/>
        <w:rPr>
          <w:rFonts w:cs="Times New Roman"/>
        </w:rPr>
      </w:pPr>
      <w:bookmarkStart w:id="0" w:name="_GoBack"/>
      <w:bookmarkEnd w:id="0"/>
    </w:p>
    <w:p w14:paraId="7C4F427F">
      <w:pPr>
        <w:ind w:right="-6"/>
        <w:rPr>
          <w:rFonts w:cs="Times New Roman"/>
        </w:rPr>
      </w:pPr>
    </w:p>
    <w:p w14:paraId="36C6D77D">
      <w:pPr>
        <w:ind w:right="-6"/>
        <w:rPr>
          <w:rFonts w:cs="Times New Roman"/>
        </w:rPr>
      </w:pPr>
    </w:p>
    <w:p w14:paraId="1EF26D38">
      <w:pPr>
        <w:ind w:right="-6"/>
        <w:rPr>
          <w:rFonts w:cs="Times New Roman"/>
        </w:rPr>
      </w:pPr>
    </w:p>
    <w:tbl>
      <w:tblPr>
        <w:tblStyle w:val="8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45"/>
      </w:tblGrid>
      <w:tr w14:paraId="43AAA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4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FE2F44E">
            <w:pPr>
              <w:ind w:left="1144" w:leftChars="100" w:right="316" w:rightChars="100" w:hanging="828" w:hangingChars="30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抄送：</w:t>
            </w:r>
            <w:r>
              <w:rPr>
                <w:rFonts w:hint="eastAsia" w:cs="Times New Roman"/>
                <w:sz w:val="28"/>
                <w:szCs w:val="28"/>
              </w:rPr>
              <w:t>市教育局，区政府保海燕副区长，东亭街道办事处、安镇街道办事处、东北塘街道办事处、锡北镇人民政府。</w:t>
            </w:r>
          </w:p>
        </w:tc>
      </w:tr>
    </w:tbl>
    <w:p w14:paraId="1F76B316">
      <w:pPr>
        <w:spacing w:line="14" w:lineRule="exact"/>
        <w:ind w:right="-6"/>
        <w:rPr>
          <w:rFonts w:cs="Times New Roman"/>
          <w:szCs w:val="32"/>
        </w:rPr>
      </w:pPr>
    </w:p>
    <w:p w14:paraId="4B4FF6E7">
      <w:pPr>
        <w:spacing w:line="14" w:lineRule="exact"/>
        <w:rPr>
          <w:rFonts w:cs="Times New Roman"/>
        </w:rPr>
      </w:pPr>
    </w:p>
    <w:p w14:paraId="1820B8E2">
      <w:pPr>
        <w:spacing w:line="14" w:lineRule="exact"/>
      </w:pPr>
    </w:p>
    <w:sectPr>
      <w:footerReference r:id="rId3" w:type="default"/>
      <w:footerReference r:id="rId4" w:type="even"/>
      <w:pgSz w:w="11906" w:h="16838"/>
      <w:pgMar w:top="1701" w:right="1474" w:bottom="1701" w:left="1588" w:header="851" w:footer="1134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BF781">
    <w:pPr>
      <w:pStyle w:val="6"/>
      <w:ind w:right="320" w:rightChars="100"/>
      <w:jc w:val="right"/>
    </w:pPr>
    <w:r>
      <w:rPr>
        <w:rStyle w:val="10"/>
        <w:sz w:val="28"/>
        <w:szCs w:val="28"/>
      </w:rPr>
      <w:t>—</w:t>
    </w:r>
    <w:r>
      <w:rPr>
        <w:rStyle w:val="10"/>
        <w:rFonts w:hint="eastAsia"/>
        <w:sz w:val="28"/>
        <w:szCs w:val="28"/>
      </w:rPr>
      <w:t xml:space="preserve">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3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</w:t>
    </w:r>
    <w:r>
      <w:rPr>
        <w:rStyle w:val="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D02DA">
    <w:pPr>
      <w:pStyle w:val="6"/>
      <w:ind w:left="320" w:leftChars="100"/>
    </w:pPr>
    <w:r>
      <w:rPr>
        <w:rStyle w:val="10"/>
        <w:sz w:val="28"/>
        <w:szCs w:val="28"/>
      </w:rPr>
      <w:t>—</w:t>
    </w:r>
    <w:r>
      <w:rPr>
        <w:rStyle w:val="10"/>
        <w:rFonts w:hint="eastAsia"/>
        <w:sz w:val="28"/>
        <w:szCs w:val="28"/>
      </w:rPr>
      <w:t xml:space="preserve">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</w:t>
    </w:r>
    <w:r>
      <w:rPr>
        <w:rStyle w:val="1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19C1"/>
    <w:rsid w:val="000E2D39"/>
    <w:rsid w:val="000E2F5D"/>
    <w:rsid w:val="00154D76"/>
    <w:rsid w:val="001555AB"/>
    <w:rsid w:val="001A44A7"/>
    <w:rsid w:val="001E295E"/>
    <w:rsid w:val="001E7978"/>
    <w:rsid w:val="001F7277"/>
    <w:rsid w:val="002937B8"/>
    <w:rsid w:val="002F6269"/>
    <w:rsid w:val="002F6CA0"/>
    <w:rsid w:val="003307CA"/>
    <w:rsid w:val="003A361A"/>
    <w:rsid w:val="003B3F55"/>
    <w:rsid w:val="003C55B8"/>
    <w:rsid w:val="0042776D"/>
    <w:rsid w:val="004306ED"/>
    <w:rsid w:val="00455344"/>
    <w:rsid w:val="004705D0"/>
    <w:rsid w:val="004C2023"/>
    <w:rsid w:val="004D061B"/>
    <w:rsid w:val="00555C28"/>
    <w:rsid w:val="005A2F83"/>
    <w:rsid w:val="005A30D6"/>
    <w:rsid w:val="005A6141"/>
    <w:rsid w:val="005A67F1"/>
    <w:rsid w:val="005F54DA"/>
    <w:rsid w:val="00611161"/>
    <w:rsid w:val="0062797C"/>
    <w:rsid w:val="0067168C"/>
    <w:rsid w:val="0068045A"/>
    <w:rsid w:val="006E5659"/>
    <w:rsid w:val="007000FB"/>
    <w:rsid w:val="0070608A"/>
    <w:rsid w:val="007146E4"/>
    <w:rsid w:val="00730B23"/>
    <w:rsid w:val="00761D56"/>
    <w:rsid w:val="00774646"/>
    <w:rsid w:val="0079033E"/>
    <w:rsid w:val="007915E8"/>
    <w:rsid w:val="007931C7"/>
    <w:rsid w:val="00793AF0"/>
    <w:rsid w:val="00840BBA"/>
    <w:rsid w:val="00854933"/>
    <w:rsid w:val="00862B5A"/>
    <w:rsid w:val="008C6DA5"/>
    <w:rsid w:val="008D0299"/>
    <w:rsid w:val="008D0FFA"/>
    <w:rsid w:val="008F67E8"/>
    <w:rsid w:val="008F77A9"/>
    <w:rsid w:val="00983370"/>
    <w:rsid w:val="00987B0F"/>
    <w:rsid w:val="00A317C9"/>
    <w:rsid w:val="00A53DE4"/>
    <w:rsid w:val="00AC07C0"/>
    <w:rsid w:val="00AE72E4"/>
    <w:rsid w:val="00B13091"/>
    <w:rsid w:val="00BC61EC"/>
    <w:rsid w:val="00C00B4E"/>
    <w:rsid w:val="00C219C1"/>
    <w:rsid w:val="00C50DCD"/>
    <w:rsid w:val="00CC65D7"/>
    <w:rsid w:val="00D20D69"/>
    <w:rsid w:val="00D37E97"/>
    <w:rsid w:val="00D45344"/>
    <w:rsid w:val="00D62A11"/>
    <w:rsid w:val="00D67853"/>
    <w:rsid w:val="00D90018"/>
    <w:rsid w:val="00D974D4"/>
    <w:rsid w:val="00E03ADB"/>
    <w:rsid w:val="00E422FD"/>
    <w:rsid w:val="00E75FDF"/>
    <w:rsid w:val="00EA0B21"/>
    <w:rsid w:val="00EE5EB9"/>
    <w:rsid w:val="00F22A1B"/>
    <w:rsid w:val="00F356B0"/>
    <w:rsid w:val="00F80777"/>
    <w:rsid w:val="00FA797A"/>
    <w:rsid w:val="00FE39DA"/>
    <w:rsid w:val="09341D5E"/>
    <w:rsid w:val="094C1AFD"/>
    <w:rsid w:val="0FB77938"/>
    <w:rsid w:val="102D133D"/>
    <w:rsid w:val="13545771"/>
    <w:rsid w:val="1D9275BA"/>
    <w:rsid w:val="25E013F3"/>
    <w:rsid w:val="264A454E"/>
    <w:rsid w:val="27832831"/>
    <w:rsid w:val="340465B2"/>
    <w:rsid w:val="364D1DF1"/>
    <w:rsid w:val="392F6883"/>
    <w:rsid w:val="39522F81"/>
    <w:rsid w:val="39E651DF"/>
    <w:rsid w:val="42F92F60"/>
    <w:rsid w:val="4434545D"/>
    <w:rsid w:val="44CB1108"/>
    <w:rsid w:val="465B2B02"/>
    <w:rsid w:val="56312D95"/>
    <w:rsid w:val="5B512FBA"/>
    <w:rsid w:val="5B8B1199"/>
    <w:rsid w:val="5E7D09DC"/>
    <w:rsid w:val="5F33412D"/>
    <w:rsid w:val="64D62737"/>
    <w:rsid w:val="6F2600BD"/>
    <w:rsid w:val="73B92276"/>
    <w:rsid w:val="7664249B"/>
    <w:rsid w:val="76981E32"/>
    <w:rsid w:val="7B780AEF"/>
    <w:rsid w:val="7BDA2D3B"/>
    <w:rsid w:val="7C6B49A3"/>
    <w:rsid w:val="7CB9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仿宋_GBK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ind w:firstLine="200" w:firstLineChars="200"/>
      <w:outlineLvl w:val="1"/>
    </w:pPr>
    <w:rPr>
      <w:rFonts w:eastAsia="方正黑体_GBK" w:cstheme="majorBidi"/>
      <w:bCs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ind w:firstLine="200" w:firstLineChars="200"/>
      <w:outlineLvl w:val="2"/>
    </w:pPr>
    <w:rPr>
      <w:rFonts w:eastAsia="方正楷体_GBK"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2"/>
    <w:qFormat/>
    <w:uiPriority w:val="9"/>
    <w:rPr>
      <w:rFonts w:eastAsia="方正小标宋_GBK"/>
      <w:bCs/>
      <w:kern w:val="44"/>
      <w:sz w:val="44"/>
      <w:szCs w:val="44"/>
    </w:rPr>
  </w:style>
  <w:style w:type="character" w:customStyle="1" w:styleId="12">
    <w:name w:val="页眉 Char"/>
    <w:basedOn w:val="9"/>
    <w:link w:val="7"/>
    <w:semiHidden/>
    <w:uiPriority w:val="99"/>
    <w:rPr>
      <w:sz w:val="18"/>
      <w:szCs w:val="18"/>
    </w:rPr>
  </w:style>
  <w:style w:type="character" w:customStyle="1" w:styleId="13">
    <w:name w:val="页脚 Char"/>
    <w:basedOn w:val="9"/>
    <w:link w:val="6"/>
    <w:semiHidden/>
    <w:qFormat/>
    <w:uiPriority w:val="99"/>
    <w:rPr>
      <w:sz w:val="18"/>
      <w:szCs w:val="18"/>
    </w:rPr>
  </w:style>
  <w:style w:type="character" w:customStyle="1" w:styleId="14">
    <w:name w:val="标题 2 Char"/>
    <w:basedOn w:val="9"/>
    <w:link w:val="3"/>
    <w:qFormat/>
    <w:uiPriority w:val="9"/>
    <w:rPr>
      <w:rFonts w:eastAsia="方正黑体_GBK" w:cstheme="majorBidi"/>
      <w:bCs/>
      <w:szCs w:val="32"/>
    </w:rPr>
  </w:style>
  <w:style w:type="character" w:customStyle="1" w:styleId="15">
    <w:name w:val="标题 3 Char"/>
    <w:basedOn w:val="9"/>
    <w:link w:val="4"/>
    <w:qFormat/>
    <w:uiPriority w:val="9"/>
    <w:rPr>
      <w:rFonts w:eastAsia="方正楷体_GBK"/>
      <w:bCs/>
      <w:szCs w:val="32"/>
    </w:rPr>
  </w:style>
  <w:style w:type="character" w:customStyle="1" w:styleId="16">
    <w:name w:val="日期 Char"/>
    <w:basedOn w:val="9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2257</Words>
  <Characters>2515</Characters>
  <Lines>31</Lines>
  <Paragraphs>8</Paragraphs>
  <TotalTime>0</TotalTime>
  <ScaleCrop>false</ScaleCrop>
  <LinksUpToDate>false</LinksUpToDate>
  <CharactersWithSpaces>2570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2024-01-02T02:06:00Z</dcterms:created>
  <dc:creator>qmh</dc:creator>
  <cp:lastModifiedBy>猎人</cp:lastModifiedBy>
  <cp:lastPrinted>2025-03-11T02:03:00Z</cp:lastPrinted>
  <dcterms:modified xsi:type="dcterms:W3CDTF">2025-04-03T08:36:40Z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eyJoZGlkIjoiZDkyNTE2OTMxZmRhNzA0OTc5NDk4M2E4ZjE0MTg0OTYiLCJ1c2VySWQiOiI4NjEyOTQxNjIifQ==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8AECD8D212A74479B0FFD58A4C9ABCC9_12</vt:lpwstr>
  </property>
</Properties>
</file>