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BB9010">
      <w:pPr>
        <w:pStyle w:val="2"/>
        <w:spacing w:line="240" w:lineRule="auto"/>
      </w:pPr>
      <w:r>
        <w:rPr>
          <w:rFonts w:hint="eastAsia"/>
        </w:rPr>
        <w:t>学校本轮发展中的主要亮点和问题汇总表</w:t>
      </w:r>
    </w:p>
    <w:p w14:paraId="5DE07D95">
      <w:pPr>
        <w:rPr>
          <w:rFonts w:hint="default" w:eastAsia="方正仿宋_GBK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学校名称：</w:t>
      </w:r>
      <w:r>
        <w:rPr>
          <w:rFonts w:hint="eastAsia"/>
          <w:sz w:val="28"/>
          <w:szCs w:val="28"/>
          <w:lang w:val="en-US" w:eastAsia="zh-CN"/>
        </w:rPr>
        <w:t>无锡市查桥中学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108" w:type="dxa"/>
          <w:bottom w:w="57" w:type="dxa"/>
          <w:right w:w="108" w:type="dxa"/>
        </w:tblCellMar>
      </w:tblPr>
      <w:tblGrid>
        <w:gridCol w:w="1739"/>
        <w:gridCol w:w="5852"/>
        <w:gridCol w:w="1370"/>
      </w:tblGrid>
      <w:tr w14:paraId="3E2EE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jc w:val="center"/>
        </w:trPr>
        <w:tc>
          <w:tcPr>
            <w:tcW w:w="1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DAC7CD">
            <w:pPr>
              <w:jc w:val="center"/>
              <w:rPr>
                <w:rFonts w:eastAsia="方正黑体_GBK" w:cs="方正仿宋_GBK"/>
                <w:bCs/>
                <w:sz w:val="28"/>
                <w:szCs w:val="28"/>
              </w:rPr>
            </w:pPr>
            <w:r>
              <w:rPr>
                <w:rFonts w:hint="eastAsia" w:eastAsia="方正黑体_GBK" w:cs="方正仿宋_GBK"/>
                <w:bCs/>
                <w:sz w:val="28"/>
                <w:szCs w:val="28"/>
              </w:rPr>
              <w:t>项目</w:t>
            </w:r>
          </w:p>
        </w:tc>
        <w:tc>
          <w:tcPr>
            <w:tcW w:w="5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21902D">
            <w:pPr>
              <w:jc w:val="center"/>
              <w:rPr>
                <w:rFonts w:eastAsia="方正黑体_GBK" w:cs="方正仿宋_GBK"/>
                <w:bCs/>
                <w:sz w:val="28"/>
                <w:szCs w:val="28"/>
              </w:rPr>
            </w:pPr>
            <w:r>
              <w:rPr>
                <w:rFonts w:hint="eastAsia" w:eastAsia="方正黑体_GBK" w:cs="方正仿宋_GBK"/>
                <w:bCs/>
                <w:sz w:val="28"/>
                <w:szCs w:val="28"/>
              </w:rPr>
              <w:t>特色亮点</w:t>
            </w:r>
          </w:p>
        </w:tc>
        <w:tc>
          <w:tcPr>
            <w:tcW w:w="1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5B70A9">
            <w:pPr>
              <w:jc w:val="center"/>
              <w:rPr>
                <w:rFonts w:eastAsia="方正黑体_GBK" w:cs="方正仿宋_GBK"/>
                <w:bCs/>
                <w:sz w:val="28"/>
                <w:szCs w:val="28"/>
              </w:rPr>
            </w:pPr>
            <w:r>
              <w:rPr>
                <w:rFonts w:hint="eastAsia" w:eastAsia="方正黑体_GBK" w:cs="方正仿宋_GBK"/>
                <w:bCs/>
                <w:sz w:val="28"/>
                <w:szCs w:val="28"/>
              </w:rPr>
              <w:t>主要问题</w:t>
            </w:r>
          </w:p>
        </w:tc>
      </w:tr>
      <w:tr w14:paraId="0EA24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jc w:val="center"/>
        </w:trPr>
        <w:tc>
          <w:tcPr>
            <w:tcW w:w="1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BD78A">
            <w:pPr>
              <w:jc w:val="center"/>
              <w:rPr>
                <w:rFonts w:ascii="方正仿宋_GBK" w:hAnsi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cs="方正仿宋_GBK"/>
                <w:sz w:val="28"/>
                <w:szCs w:val="28"/>
              </w:rPr>
              <w:t>学校建设</w:t>
            </w:r>
          </w:p>
        </w:tc>
        <w:tc>
          <w:tcPr>
            <w:tcW w:w="5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D250B41">
            <w:pPr>
              <w:snapToGrid w:val="0"/>
              <w:rPr>
                <w:rFonts w:hint="default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学校建设现代化（学校原地改扩建，新校于2023年8月底正式启用，投入约2亿）。</w:t>
            </w:r>
          </w:p>
        </w:tc>
        <w:tc>
          <w:tcPr>
            <w:tcW w:w="1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48F41EE">
            <w:pPr>
              <w:snapToGrid w:val="0"/>
              <w:rPr>
                <w:rFonts w:hint="default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</w:p>
        </w:tc>
      </w:tr>
      <w:tr w14:paraId="54224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jc w:val="center"/>
        </w:trPr>
        <w:tc>
          <w:tcPr>
            <w:tcW w:w="1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0992B">
            <w:pPr>
              <w:jc w:val="center"/>
              <w:rPr>
                <w:rFonts w:ascii="方正仿宋_GBK" w:hAnsi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cs="方正仿宋_GBK"/>
                <w:sz w:val="28"/>
                <w:szCs w:val="28"/>
              </w:rPr>
              <w:t>教育装备</w:t>
            </w:r>
          </w:p>
        </w:tc>
        <w:tc>
          <w:tcPr>
            <w:tcW w:w="5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8CC961A">
            <w:pPr>
              <w:snapToGrid w:val="0"/>
              <w:rPr>
                <w:rFonts w:hint="default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教育技术装备全部达工类标准，学校建有合班教室、录播教室、AI教室、地理、历史专用教室、理化生创新实验室、能容纳800人报告厅，室内体育馆、现代化图书馆等。</w:t>
            </w:r>
          </w:p>
        </w:tc>
        <w:tc>
          <w:tcPr>
            <w:tcW w:w="1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B633511">
            <w:pPr>
              <w:snapToGrid w:val="0"/>
              <w:rPr>
                <w:rFonts w:hint="eastAsia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</w:p>
        </w:tc>
      </w:tr>
      <w:tr w14:paraId="4417C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jc w:val="center"/>
        </w:trPr>
        <w:tc>
          <w:tcPr>
            <w:tcW w:w="1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E9E31C">
            <w:pPr>
              <w:jc w:val="center"/>
              <w:rPr>
                <w:rFonts w:ascii="方正仿宋_GBK" w:hAnsi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cs="方正仿宋_GBK"/>
                <w:sz w:val="28"/>
                <w:szCs w:val="28"/>
              </w:rPr>
              <w:t>学校管理</w:t>
            </w:r>
          </w:p>
        </w:tc>
        <w:tc>
          <w:tcPr>
            <w:tcW w:w="5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7D16672">
            <w:pPr>
              <w:snapToGrid w:val="0"/>
              <w:rPr>
                <w:rFonts w:hint="eastAsia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学校坚持向管理要质量的工作理念和与时俱进的创新精神，以党建引领，优化管理方式和运行机制，提升学校管理品质，不断开创办学治校新局面。三年来，学校先后获得全国青少年校园足球特色学校、无锡市平安校园、无锡市五四红旗团委（团工委）、无锡市学生实验能力大赛先进集体、锡山区先进基层党组织、锡山区“一校一品”党建文化品牌项目、锡山区中小学阅读示范基地等荣誉。</w:t>
            </w:r>
          </w:p>
        </w:tc>
        <w:tc>
          <w:tcPr>
            <w:tcW w:w="1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67ADE8B">
            <w:pPr>
              <w:snapToGrid w:val="0"/>
              <w:rPr>
                <w:rFonts w:hint="eastAsia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</w:p>
        </w:tc>
      </w:tr>
      <w:tr w14:paraId="4CB4D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jc w:val="center"/>
        </w:trPr>
        <w:tc>
          <w:tcPr>
            <w:tcW w:w="1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5BB3A">
            <w:pPr>
              <w:jc w:val="center"/>
              <w:rPr>
                <w:rFonts w:ascii="方正仿宋_GBK" w:hAnsi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cs="方正仿宋_GBK"/>
                <w:sz w:val="28"/>
                <w:szCs w:val="28"/>
              </w:rPr>
              <w:t>教师管理</w:t>
            </w:r>
          </w:p>
        </w:tc>
        <w:tc>
          <w:tcPr>
            <w:tcW w:w="5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5342BC5">
            <w:pPr>
              <w:snapToGrid w:val="0"/>
              <w:rPr>
                <w:rFonts w:hint="eastAsia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1.加强干部队伍建设，着力选拔提升青年骨干教师充实学校管理队伍，充实学校后备干部队伍；</w:t>
            </w:r>
          </w:p>
          <w:p w14:paraId="19120FCC">
            <w:pPr>
              <w:snapToGrid w:val="0"/>
              <w:rPr>
                <w:rFonts w:hint="default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2.三年中新增骨干教师8人；</w:t>
            </w:r>
          </w:p>
          <w:p w14:paraId="07F2417B">
            <w:pPr>
              <w:snapToGrid w:val="0"/>
              <w:rPr>
                <w:rFonts w:hint="eastAsia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3.三年来，教师中有457人次在省、市、区各级各类比赛、参赛论文中获奖。胡锡峰、高伟获得无锡市优秀教育工作者荣誉称号，蔡静娟获得锡山区优秀教育工作者荣誉称号，方燕娟获得锡山区第六届“最美教师”荣誉称号，金玉芳获得锡山区首批最美巾帼（个人）荣誉称号，黄泳华获得优秀党员荣誉称号等。</w:t>
            </w:r>
          </w:p>
        </w:tc>
        <w:tc>
          <w:tcPr>
            <w:tcW w:w="1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69EC94C">
            <w:pPr>
              <w:snapToGrid w:val="0"/>
              <w:rPr>
                <w:rFonts w:hint="default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</w:p>
        </w:tc>
      </w:tr>
      <w:tr w14:paraId="234C7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jc w:val="center"/>
        </w:trPr>
        <w:tc>
          <w:tcPr>
            <w:tcW w:w="1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C23B6">
            <w:pPr>
              <w:jc w:val="center"/>
              <w:rPr>
                <w:rFonts w:ascii="方正仿宋_GBK" w:hAnsi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cs="方正仿宋_GBK"/>
                <w:sz w:val="28"/>
                <w:szCs w:val="28"/>
              </w:rPr>
              <w:t>学生管理</w:t>
            </w:r>
          </w:p>
        </w:tc>
        <w:tc>
          <w:tcPr>
            <w:tcW w:w="5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ADB946F">
            <w:pPr>
              <w:snapToGrid w:val="0"/>
              <w:rPr>
                <w:rFonts w:hint="eastAsia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学校在传承、整合和创新中发展，着力培育学生做笃行的人、善行的人、美行的人。校训“笃行”，教风“崇正崇真”，学风“至高至善”，校风“惟恒惟美”。全校上下凝心聚力培育“笃行”校园文化，聚焦建设五大工程：一是美好的校园环境；二是美好的文化氛围；三是美好的人际关系；四是美好的课堂教学；五是美好的育人质量，共建美好校园。</w:t>
            </w:r>
          </w:p>
          <w:p w14:paraId="2DD920D5">
            <w:pPr>
              <w:snapToGrid w:val="0"/>
              <w:rPr>
                <w:rFonts w:hint="eastAsia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三年来，学生先后获得“无锡杯”校园三人篮球比赛初中组男子组第一名、无锡市第二届中小学生校园竖笛比赛中学组二等奖、无锡市第四届青少年编程大赛PYTHON初中组团体三等奖、锡山区第十三届中小学乒乓球比赛（初中女子组）第一名、锡山区青少年校园足球联赛初中女子组二等奖、锡山区第十二届校园文化艺术节专场决赛中学组二等奖、锡山区首届中小学生美术素养大赛团体二等奖等省市区荣誉。</w:t>
            </w:r>
          </w:p>
          <w:p w14:paraId="3D0C7279">
            <w:pPr>
              <w:snapToGrid w:val="0"/>
              <w:rPr>
                <w:rFonts w:hint="eastAsia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学生有383人次在省市区各级各类比赛中获奖。</w:t>
            </w:r>
          </w:p>
        </w:tc>
        <w:tc>
          <w:tcPr>
            <w:tcW w:w="1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BBBAAD7">
            <w:pPr>
              <w:snapToGrid w:val="0"/>
              <w:rPr>
                <w:rFonts w:hint="eastAsia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</w:p>
        </w:tc>
      </w:tr>
      <w:tr w14:paraId="20E3E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jc w:val="center"/>
        </w:trPr>
        <w:tc>
          <w:tcPr>
            <w:tcW w:w="1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D7103">
            <w:pPr>
              <w:jc w:val="center"/>
              <w:rPr>
                <w:rFonts w:ascii="方正仿宋_GBK" w:hAnsi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cs="方正仿宋_GBK"/>
                <w:sz w:val="28"/>
                <w:szCs w:val="28"/>
              </w:rPr>
              <w:t>教学科研</w:t>
            </w:r>
          </w:p>
        </w:tc>
        <w:tc>
          <w:tcPr>
            <w:tcW w:w="5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6A9A6B6">
            <w:pPr>
              <w:snapToGrid w:val="0"/>
              <w:rPr>
                <w:rFonts w:hint="eastAsia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1.学校高度重视教育科研工作，积极组织教师参与各级课题申报与研，邀请区内课题专家到校开展专题讲座指导。学校成功申报无锡市教育科学“十三五”规划课题和锡山区教育科学“十三五”规划课题、锡山区教育科学“十四五”规划课题，同时动员校内教师参与校级教育教学课题申报，为学校教育教学改革提供了理论支撑和实践方向。此外，学校还认真推进各级中小学内涵建设项目申报工作，按时序推动项目建设，进一步促进了学校内涵发展和品质提升，为探索教育“新方向”奠定了坚实基础。</w:t>
            </w:r>
          </w:p>
          <w:p w14:paraId="49ACA219">
            <w:pPr>
              <w:snapToGrid w:val="0"/>
              <w:rPr>
                <w:rFonts w:hint="default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2.近三年教师有308篇文章在省市区各级各类论文评比中获奖。</w:t>
            </w:r>
          </w:p>
        </w:tc>
        <w:tc>
          <w:tcPr>
            <w:tcW w:w="1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9FEEE6A">
            <w:pPr>
              <w:snapToGrid w:val="0"/>
              <w:rPr>
                <w:rFonts w:hint="eastAsia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</w:p>
        </w:tc>
      </w:tr>
      <w:tr w14:paraId="7BA17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jc w:val="center"/>
        </w:trPr>
        <w:tc>
          <w:tcPr>
            <w:tcW w:w="1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C2391">
            <w:pPr>
              <w:jc w:val="center"/>
              <w:rPr>
                <w:rFonts w:ascii="方正仿宋_GBK" w:hAnsi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cs="方正仿宋_GBK"/>
                <w:sz w:val="28"/>
                <w:szCs w:val="28"/>
              </w:rPr>
              <w:t>特色建设</w:t>
            </w:r>
          </w:p>
        </w:tc>
        <w:tc>
          <w:tcPr>
            <w:tcW w:w="5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E88F15F">
            <w:pPr>
              <w:snapToGrid w:val="0"/>
              <w:rPr>
                <w:rFonts w:hint="eastAsia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1.构建特色课程，挖掘学生“新潜能”；</w:t>
            </w:r>
          </w:p>
          <w:p w14:paraId="108045B7">
            <w:pPr>
              <w:snapToGrid w:val="0"/>
              <w:rPr>
                <w:rFonts w:hint="eastAsia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2.开展特色活动，激发创新“新动能”；</w:t>
            </w:r>
          </w:p>
          <w:p w14:paraId="60E388BA">
            <w:pPr>
              <w:snapToGrid w:val="0"/>
              <w:rPr>
                <w:rFonts w:hint="eastAsia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3.收获特色成果，提升学校“新声誉”；</w:t>
            </w:r>
          </w:p>
          <w:p w14:paraId="24DB6E8C">
            <w:pPr>
              <w:snapToGrid w:val="0"/>
              <w:rPr>
                <w:rFonts w:hint="eastAsia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4.深耕“笃行”文化，铸就校园精神“新底色”。</w:t>
            </w:r>
          </w:p>
          <w:p w14:paraId="1093C64A">
            <w:pPr>
              <w:snapToGrid w:val="0"/>
              <w:rPr>
                <w:rFonts w:hint="eastAsia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学校着力推进特色项目的课程化、体系化发展。将“笃行”文化融入课程教学，开发足球特色校本课程，打造书香校园品牌。同时加强文化建设专业人才培养，持续推进项目负责制，确保各项特色活动落到实处、取得实效，真正发挥文化育人功能。</w:t>
            </w:r>
          </w:p>
        </w:tc>
        <w:tc>
          <w:tcPr>
            <w:tcW w:w="1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CF3E885">
            <w:pPr>
              <w:snapToGrid w:val="0"/>
              <w:rPr>
                <w:rFonts w:hint="eastAsia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</w:p>
        </w:tc>
      </w:tr>
      <w:tr w14:paraId="05EE2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jc w:val="center"/>
        </w:trPr>
        <w:tc>
          <w:tcPr>
            <w:tcW w:w="1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CB657">
            <w:pPr>
              <w:jc w:val="center"/>
              <w:rPr>
                <w:rFonts w:ascii="方正仿宋_GBK" w:hAnsi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cs="方正仿宋_GBK"/>
                <w:sz w:val="28"/>
                <w:szCs w:val="28"/>
              </w:rPr>
              <w:t>其他</w:t>
            </w:r>
          </w:p>
        </w:tc>
        <w:tc>
          <w:tcPr>
            <w:tcW w:w="58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EC67AD6">
            <w:pPr>
              <w:snapToGrid w:val="0"/>
              <w:rPr>
                <w:rFonts w:hint="eastAsia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集团化建设。</w:t>
            </w:r>
          </w:p>
        </w:tc>
        <w:tc>
          <w:tcPr>
            <w:tcW w:w="1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F8193BB">
            <w:pPr>
              <w:snapToGrid w:val="0"/>
              <w:rPr>
                <w:rFonts w:hint="eastAsia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</w:p>
        </w:tc>
      </w:tr>
    </w:tbl>
    <w:p w14:paraId="65FA647E">
      <w:r>
        <w:rPr>
          <w:rFonts w:hint="eastAsia"/>
          <w:sz w:val="28"/>
          <w:szCs w:val="28"/>
        </w:rPr>
        <w:t>注：此表附在自评报告后。</w:t>
      </w:r>
    </w:p>
    <w:p w14:paraId="5420D6D9"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701" w:right="1474" w:bottom="1701" w:left="1588" w:header="851" w:footer="1134" w:gutter="0"/>
      <w:cols w:space="425" w:num="1"/>
      <w:docGrid w:type="linesAndChar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57E76F">
    <w:pPr>
      <w:pStyle w:val="7"/>
      <w:ind w:right="320" w:rightChars="100"/>
      <w:jc w:val="right"/>
    </w:pPr>
    <w:r>
      <w:rPr>
        <w:rStyle w:val="12"/>
        <w:sz w:val="28"/>
        <w:szCs w:val="28"/>
      </w:rPr>
      <w:t>—</w:t>
    </w:r>
    <w:r>
      <w:rPr>
        <w:rStyle w:val="12"/>
        <w:rFonts w:hint="eastAsia"/>
        <w:sz w:val="28"/>
        <w:szCs w:val="28"/>
      </w:rPr>
      <w:t xml:space="preserve"> </w:t>
    </w:r>
    <w:r>
      <w:rPr>
        <w:rStyle w:val="12"/>
        <w:sz w:val="28"/>
        <w:szCs w:val="28"/>
      </w:rPr>
      <w:fldChar w:fldCharType="begin"/>
    </w:r>
    <w:r>
      <w:rPr>
        <w:rStyle w:val="12"/>
        <w:sz w:val="28"/>
        <w:szCs w:val="28"/>
      </w:rPr>
      <w:instrText xml:space="preserve">PAGE  </w:instrText>
    </w:r>
    <w:r>
      <w:rPr>
        <w:rStyle w:val="12"/>
        <w:sz w:val="28"/>
        <w:szCs w:val="28"/>
      </w:rPr>
      <w:fldChar w:fldCharType="separate"/>
    </w:r>
    <w:r>
      <w:rPr>
        <w:rStyle w:val="12"/>
        <w:sz w:val="28"/>
        <w:szCs w:val="28"/>
      </w:rPr>
      <w:t>3</w:t>
    </w:r>
    <w:r>
      <w:rPr>
        <w:rStyle w:val="12"/>
        <w:sz w:val="28"/>
        <w:szCs w:val="28"/>
      </w:rPr>
      <w:fldChar w:fldCharType="end"/>
    </w:r>
    <w:r>
      <w:rPr>
        <w:rStyle w:val="12"/>
        <w:rFonts w:hint="eastAsia"/>
        <w:sz w:val="28"/>
        <w:szCs w:val="28"/>
      </w:rPr>
      <w:t xml:space="preserve"> </w:t>
    </w:r>
    <w:r>
      <w:rPr>
        <w:rStyle w:val="12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04BE82">
    <w:pPr>
      <w:pStyle w:val="7"/>
      <w:ind w:left="320" w:leftChars="100"/>
    </w:pPr>
    <w:r>
      <w:rPr>
        <w:rStyle w:val="12"/>
        <w:sz w:val="28"/>
        <w:szCs w:val="28"/>
      </w:rPr>
      <w:t>—</w:t>
    </w:r>
    <w:r>
      <w:rPr>
        <w:rStyle w:val="12"/>
        <w:rFonts w:hint="eastAsia"/>
        <w:sz w:val="28"/>
        <w:szCs w:val="28"/>
      </w:rPr>
      <w:t xml:space="preserve"> </w:t>
    </w:r>
    <w:r>
      <w:rPr>
        <w:rStyle w:val="12"/>
        <w:sz w:val="28"/>
        <w:szCs w:val="28"/>
      </w:rPr>
      <w:fldChar w:fldCharType="begin"/>
    </w:r>
    <w:r>
      <w:rPr>
        <w:rStyle w:val="12"/>
        <w:sz w:val="28"/>
        <w:szCs w:val="28"/>
      </w:rPr>
      <w:instrText xml:space="preserve">PAGE  </w:instrText>
    </w:r>
    <w:r>
      <w:rPr>
        <w:rStyle w:val="12"/>
        <w:sz w:val="28"/>
        <w:szCs w:val="28"/>
      </w:rPr>
      <w:fldChar w:fldCharType="separate"/>
    </w:r>
    <w:r>
      <w:rPr>
        <w:rStyle w:val="12"/>
        <w:sz w:val="28"/>
        <w:szCs w:val="28"/>
      </w:rPr>
      <w:t>2</w:t>
    </w:r>
    <w:r>
      <w:rPr>
        <w:rStyle w:val="12"/>
        <w:sz w:val="28"/>
        <w:szCs w:val="28"/>
      </w:rPr>
      <w:fldChar w:fldCharType="end"/>
    </w:r>
    <w:r>
      <w:rPr>
        <w:rStyle w:val="12"/>
        <w:rFonts w:hint="eastAsia"/>
        <w:sz w:val="28"/>
        <w:szCs w:val="28"/>
      </w:rPr>
      <w:t xml:space="preserve"> </w:t>
    </w:r>
    <w:r>
      <w:rPr>
        <w:rStyle w:val="12"/>
        <w:sz w:val="28"/>
        <w:szCs w:val="28"/>
      </w:rPr>
      <w:t>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evenAndOddHeaders w:val="1"/>
  <w:drawingGridHorizontalSpacing w:val="158"/>
  <w:drawingGridVerticalSpacing w:val="57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C219C1"/>
    <w:rsid w:val="000E2D39"/>
    <w:rsid w:val="000E2F5D"/>
    <w:rsid w:val="00154D76"/>
    <w:rsid w:val="001555AB"/>
    <w:rsid w:val="001A44A7"/>
    <w:rsid w:val="001E295E"/>
    <w:rsid w:val="001E7978"/>
    <w:rsid w:val="001F7277"/>
    <w:rsid w:val="002937B8"/>
    <w:rsid w:val="002F6269"/>
    <w:rsid w:val="002F6CA0"/>
    <w:rsid w:val="003307CA"/>
    <w:rsid w:val="003A361A"/>
    <w:rsid w:val="003B3F55"/>
    <w:rsid w:val="003C55B8"/>
    <w:rsid w:val="0042776D"/>
    <w:rsid w:val="004306ED"/>
    <w:rsid w:val="00455344"/>
    <w:rsid w:val="004705D0"/>
    <w:rsid w:val="004C2023"/>
    <w:rsid w:val="004D061B"/>
    <w:rsid w:val="00555C28"/>
    <w:rsid w:val="005A2F83"/>
    <w:rsid w:val="005A30D6"/>
    <w:rsid w:val="005A6141"/>
    <w:rsid w:val="005A67F1"/>
    <w:rsid w:val="005F54DA"/>
    <w:rsid w:val="00611161"/>
    <w:rsid w:val="0062797C"/>
    <w:rsid w:val="0067168C"/>
    <w:rsid w:val="0068045A"/>
    <w:rsid w:val="006E5659"/>
    <w:rsid w:val="007000FB"/>
    <w:rsid w:val="0070608A"/>
    <w:rsid w:val="007146E4"/>
    <w:rsid w:val="00730B23"/>
    <w:rsid w:val="00774646"/>
    <w:rsid w:val="0079033E"/>
    <w:rsid w:val="007915E8"/>
    <w:rsid w:val="007931C7"/>
    <w:rsid w:val="00793AF0"/>
    <w:rsid w:val="00840BBA"/>
    <w:rsid w:val="00854933"/>
    <w:rsid w:val="00862B5A"/>
    <w:rsid w:val="008C6DA5"/>
    <w:rsid w:val="008D0299"/>
    <w:rsid w:val="008D0FFA"/>
    <w:rsid w:val="008F67E8"/>
    <w:rsid w:val="008F77A9"/>
    <w:rsid w:val="00983370"/>
    <w:rsid w:val="00987B0F"/>
    <w:rsid w:val="00A317C9"/>
    <w:rsid w:val="00A53DE4"/>
    <w:rsid w:val="00AC07C0"/>
    <w:rsid w:val="00AE72E4"/>
    <w:rsid w:val="00B13091"/>
    <w:rsid w:val="00BC61EC"/>
    <w:rsid w:val="00C00B4E"/>
    <w:rsid w:val="00C219C1"/>
    <w:rsid w:val="00C50DCD"/>
    <w:rsid w:val="00CC65D7"/>
    <w:rsid w:val="00D20D69"/>
    <w:rsid w:val="00D37E97"/>
    <w:rsid w:val="00D45344"/>
    <w:rsid w:val="00D62A11"/>
    <w:rsid w:val="00D67853"/>
    <w:rsid w:val="00D90018"/>
    <w:rsid w:val="00D974D4"/>
    <w:rsid w:val="00E03ADB"/>
    <w:rsid w:val="00E422FD"/>
    <w:rsid w:val="00E75FDF"/>
    <w:rsid w:val="00EA0B21"/>
    <w:rsid w:val="00EE5EB9"/>
    <w:rsid w:val="00F22A1B"/>
    <w:rsid w:val="00F356B0"/>
    <w:rsid w:val="00F80777"/>
    <w:rsid w:val="00FA797A"/>
    <w:rsid w:val="00FE39DA"/>
    <w:rsid w:val="119A0D13"/>
    <w:rsid w:val="233D3D5B"/>
    <w:rsid w:val="2E1C1230"/>
    <w:rsid w:val="31630006"/>
    <w:rsid w:val="317909ED"/>
    <w:rsid w:val="37953B5B"/>
    <w:rsid w:val="37FE06D3"/>
    <w:rsid w:val="381270FD"/>
    <w:rsid w:val="424A062A"/>
    <w:rsid w:val="7CD96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_GBK" w:cstheme="minorBidi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spacing w:line="600" w:lineRule="exact"/>
      <w:jc w:val="center"/>
      <w:outlineLvl w:val="0"/>
    </w:pPr>
    <w:rPr>
      <w:rFonts w:eastAsia="方正小标宋_GBK"/>
      <w:bCs/>
      <w:kern w:val="44"/>
      <w:sz w:val="44"/>
      <w:szCs w:val="44"/>
    </w:rPr>
  </w:style>
  <w:style w:type="paragraph" w:styleId="3">
    <w:name w:val="heading 2"/>
    <w:basedOn w:val="1"/>
    <w:next w:val="1"/>
    <w:link w:val="16"/>
    <w:unhideWhenUsed/>
    <w:qFormat/>
    <w:uiPriority w:val="9"/>
    <w:pPr>
      <w:ind w:firstLine="200" w:firstLineChars="200"/>
      <w:outlineLvl w:val="1"/>
    </w:pPr>
    <w:rPr>
      <w:rFonts w:eastAsia="方正黑体_GBK" w:cstheme="majorBidi"/>
      <w:bCs/>
      <w:szCs w:val="32"/>
    </w:rPr>
  </w:style>
  <w:style w:type="paragraph" w:styleId="4">
    <w:name w:val="heading 3"/>
    <w:basedOn w:val="1"/>
    <w:next w:val="1"/>
    <w:link w:val="17"/>
    <w:unhideWhenUsed/>
    <w:qFormat/>
    <w:uiPriority w:val="9"/>
    <w:pPr>
      <w:ind w:firstLine="200" w:firstLineChars="200"/>
      <w:outlineLvl w:val="2"/>
    </w:pPr>
    <w:rPr>
      <w:rFonts w:eastAsia="方正楷体_GBK"/>
      <w:bCs/>
      <w:szCs w:val="32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unhideWhenUsed/>
    <w:qFormat/>
    <w:uiPriority w:val="99"/>
    <w:rPr>
      <w:szCs w:val="20"/>
    </w:rPr>
  </w:style>
  <w:style w:type="paragraph" w:styleId="6">
    <w:name w:val="Date"/>
    <w:basedOn w:val="1"/>
    <w:next w:val="1"/>
    <w:link w:val="18"/>
    <w:semiHidden/>
    <w:unhideWhenUsed/>
    <w:qFormat/>
    <w:uiPriority w:val="99"/>
    <w:pPr>
      <w:ind w:left="100" w:leftChars="2500"/>
    </w:pPr>
  </w:style>
  <w:style w:type="paragraph" w:styleId="7">
    <w:name w:val="footer"/>
    <w:basedOn w:val="1"/>
    <w:link w:val="15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2">
    <w:name w:val="page number"/>
    <w:basedOn w:val="11"/>
    <w:qFormat/>
    <w:uiPriority w:val="0"/>
  </w:style>
  <w:style w:type="character" w:customStyle="1" w:styleId="13">
    <w:name w:val="标题 1 Char"/>
    <w:basedOn w:val="11"/>
    <w:link w:val="2"/>
    <w:qFormat/>
    <w:uiPriority w:val="9"/>
    <w:rPr>
      <w:rFonts w:eastAsia="方正小标宋_GBK"/>
      <w:bCs/>
      <w:kern w:val="44"/>
      <w:sz w:val="44"/>
      <w:szCs w:val="44"/>
    </w:rPr>
  </w:style>
  <w:style w:type="character" w:customStyle="1" w:styleId="14">
    <w:name w:val="页眉 Char"/>
    <w:basedOn w:val="11"/>
    <w:link w:val="8"/>
    <w:semiHidden/>
    <w:qFormat/>
    <w:uiPriority w:val="99"/>
    <w:rPr>
      <w:sz w:val="18"/>
      <w:szCs w:val="18"/>
    </w:rPr>
  </w:style>
  <w:style w:type="character" w:customStyle="1" w:styleId="15">
    <w:name w:val="页脚 Char"/>
    <w:basedOn w:val="11"/>
    <w:link w:val="7"/>
    <w:semiHidden/>
    <w:qFormat/>
    <w:uiPriority w:val="99"/>
    <w:rPr>
      <w:sz w:val="18"/>
      <w:szCs w:val="18"/>
    </w:rPr>
  </w:style>
  <w:style w:type="character" w:customStyle="1" w:styleId="16">
    <w:name w:val="标题 2 Char"/>
    <w:basedOn w:val="11"/>
    <w:link w:val="3"/>
    <w:qFormat/>
    <w:uiPriority w:val="9"/>
    <w:rPr>
      <w:rFonts w:eastAsia="方正黑体_GBK" w:cstheme="majorBidi"/>
      <w:bCs/>
      <w:szCs w:val="32"/>
    </w:rPr>
  </w:style>
  <w:style w:type="character" w:customStyle="1" w:styleId="17">
    <w:name w:val="标题 3 Char"/>
    <w:basedOn w:val="11"/>
    <w:link w:val="4"/>
    <w:qFormat/>
    <w:uiPriority w:val="9"/>
    <w:rPr>
      <w:rFonts w:eastAsia="方正楷体_GBK"/>
      <w:bCs/>
      <w:szCs w:val="32"/>
    </w:rPr>
  </w:style>
  <w:style w:type="character" w:customStyle="1" w:styleId="18">
    <w:name w:val="日期 Char"/>
    <w:basedOn w:val="11"/>
    <w:link w:val="6"/>
    <w:semiHidden/>
    <w:qFormat/>
    <w:uiPriority w:val="99"/>
  </w:style>
  <w:style w:type="paragraph" w:customStyle="1" w:styleId="19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仿宋_GB2312" w:hAnsi="Calibri" w:eastAsia="仿宋_GB2312" w:cs="仿宋_GB2312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1499</Words>
  <Characters>1527</Characters>
  <Lines>31</Lines>
  <Paragraphs>8</Paragraphs>
  <TotalTime>0</TotalTime>
  <ScaleCrop>false</ScaleCrop>
  <LinksUpToDate>false</LinksUpToDate>
  <CharactersWithSpaces>1527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2024-01-02T02:06:00Z</dcterms:created>
  <dc:creator>qmh</dc:creator>
  <cp:lastModifiedBy>猎人</cp:lastModifiedBy>
  <cp:lastPrinted>2025-03-11T02:03:00Z</cp:lastPrinted>
  <dcterms:modified xsi:type="dcterms:W3CDTF">2025-04-03T08:37:33Z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eyJoZGlkIjoiZDkyNTE2OTMxZmRhNzA0OTc5NDk4M2E4ZjE0MTg0OTYiLCJ1c2VySWQiOiI4NjEyOTQxNjIifQ==</vt:lpwstr>
  </property>
  <property fmtid="{D5CDD505-2E9C-101B-9397-08002B2CF9AE}" pid="3" name="KSOProductBuildVer">
    <vt:lpwstr>2052-12.1.0.20305</vt:lpwstr>
  </property>
  <property fmtid="{D5CDD505-2E9C-101B-9397-08002B2CF9AE}" pid="4" name="ICV">
    <vt:lpwstr>FF9A7711AEEB44388488C05AD0BCB5D1_12</vt:lpwstr>
  </property>
</Properties>
</file>